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CD4290" w14:paraId="003844CF" w14:textId="77777777">
        <w:tc>
          <w:tcPr>
            <w:tcW w:w="3010" w:type="dxa"/>
          </w:tcPr>
          <w:p w14:paraId="0CFD8F34" w14:textId="77777777" w:rsidR="00CD4290" w:rsidRDefault="00000000" w:rsidP="009929AA">
            <w:pPr>
              <w:spacing w:before="0" w:after="0"/>
            </w:pPr>
            <w:r>
              <w:t>Udarbejdet:</w:t>
            </w:r>
          </w:p>
        </w:tc>
        <w:tc>
          <w:tcPr>
            <w:tcW w:w="3010" w:type="dxa"/>
          </w:tcPr>
          <w:p w14:paraId="766B71F6" w14:textId="77777777" w:rsidR="00CD4290" w:rsidRDefault="00000000" w:rsidP="009929AA">
            <w:pPr>
              <w:spacing w:before="0" w:after="0"/>
            </w:pPr>
            <w:r>
              <w:t>Kontrolleret:</w:t>
            </w:r>
          </w:p>
        </w:tc>
        <w:tc>
          <w:tcPr>
            <w:tcW w:w="3010" w:type="dxa"/>
          </w:tcPr>
          <w:p w14:paraId="12FFF3CA" w14:textId="77777777" w:rsidR="00CD4290" w:rsidRDefault="00000000" w:rsidP="009929AA">
            <w:pPr>
              <w:spacing w:before="0" w:after="0"/>
            </w:pPr>
            <w:r>
              <w:t>Godkendt:</w:t>
            </w:r>
          </w:p>
        </w:tc>
      </w:tr>
    </w:tbl>
    <w:p w14:paraId="09B46410" w14:textId="77777777" w:rsidR="00CD4290" w:rsidRDefault="00CD4290" w:rsidP="009929AA">
      <w:pPr>
        <w:spacing w:before="0" w:after="0"/>
      </w:pPr>
    </w:p>
    <w:p w14:paraId="232906E0" w14:textId="77777777" w:rsidR="009929AA" w:rsidRDefault="009929AA" w:rsidP="009929AA">
      <w:pPr>
        <w:spacing w:before="0" w:after="0"/>
      </w:pPr>
    </w:p>
    <w:p w14:paraId="52396F20" w14:textId="77777777" w:rsidR="009929AA" w:rsidRDefault="009929AA" w:rsidP="009929AA">
      <w:pPr>
        <w:spacing w:before="0" w:after="0"/>
      </w:pPr>
    </w:p>
    <w:p w14:paraId="686F6964" w14:textId="77777777" w:rsidR="00CD4290" w:rsidRDefault="00000000" w:rsidP="009929AA">
      <w:pPr>
        <w:spacing w:before="0" w:after="0"/>
      </w:pPr>
      <w:r>
        <w:rPr>
          <w:rFonts w:eastAsiaTheme="majorEastAsia" w:cstheme="majorBidi"/>
          <w:b/>
          <w:bCs/>
          <w:sz w:val="24"/>
          <w:szCs w:val="28"/>
          <w:lang w:eastAsia="da-DK"/>
        </w:rPr>
        <w:t>Indholdsfortegnelse</w:t>
      </w:r>
    </w:p>
    <w:p w14:paraId="3DD2BA98" w14:textId="485E7A34" w:rsidR="003C67C9" w:rsidRPr="003C67C9" w:rsidRDefault="00000000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 w:rsidRPr="003C67C9">
        <w:rPr>
          <w:sz w:val="22"/>
        </w:rPr>
        <w:fldChar w:fldCharType="begin"/>
      </w:r>
      <w:r w:rsidRPr="003C67C9">
        <w:rPr>
          <w:sz w:val="22"/>
        </w:rPr>
        <w:instrText xml:space="preserve">TOC \o "1-3" \h \z </w:instrText>
      </w:r>
      <w:r w:rsidRPr="003C67C9">
        <w:rPr>
          <w:sz w:val="22"/>
        </w:rPr>
        <w:fldChar w:fldCharType="separate"/>
      </w:r>
      <w:hyperlink w:anchor="_Toc229493125" w:history="1">
        <w:r w:rsidR="003C67C9" w:rsidRPr="003C67C9">
          <w:rPr>
            <w:rStyle w:val="Hyperlink"/>
            <w:noProof/>
            <w:sz w:val="22"/>
          </w:rPr>
          <w:t>1</w:t>
        </w:r>
        <w:r w:rsidR="003C67C9"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="003C67C9" w:rsidRPr="003C67C9">
          <w:rPr>
            <w:rStyle w:val="Hyperlink"/>
            <w:noProof/>
            <w:sz w:val="22"/>
          </w:rPr>
          <w:t>Omfang</w:t>
        </w:r>
        <w:r w:rsidR="003C67C9" w:rsidRPr="003C67C9">
          <w:rPr>
            <w:noProof/>
            <w:webHidden/>
            <w:sz w:val="22"/>
          </w:rPr>
          <w:tab/>
        </w:r>
        <w:r w:rsidR="003C67C9" w:rsidRPr="003C67C9">
          <w:rPr>
            <w:noProof/>
            <w:webHidden/>
            <w:sz w:val="22"/>
          </w:rPr>
          <w:fldChar w:fldCharType="begin"/>
        </w:r>
        <w:r w:rsidR="003C67C9" w:rsidRPr="003C67C9">
          <w:rPr>
            <w:noProof/>
            <w:webHidden/>
            <w:sz w:val="22"/>
          </w:rPr>
          <w:instrText xml:space="preserve"> PAGEREF _Toc229493125 \h </w:instrText>
        </w:r>
        <w:r w:rsidR="003C67C9" w:rsidRPr="003C67C9">
          <w:rPr>
            <w:noProof/>
            <w:webHidden/>
            <w:sz w:val="22"/>
          </w:rPr>
        </w:r>
        <w:r w:rsidR="003C67C9" w:rsidRPr="003C67C9">
          <w:rPr>
            <w:noProof/>
            <w:webHidden/>
            <w:sz w:val="22"/>
          </w:rPr>
          <w:fldChar w:fldCharType="separate"/>
        </w:r>
        <w:r w:rsidR="003C67C9" w:rsidRPr="003C67C9">
          <w:rPr>
            <w:noProof/>
            <w:webHidden/>
            <w:sz w:val="22"/>
          </w:rPr>
          <w:t>2</w:t>
        </w:r>
        <w:r w:rsidR="003C67C9" w:rsidRPr="003C67C9">
          <w:rPr>
            <w:noProof/>
            <w:webHidden/>
            <w:sz w:val="22"/>
          </w:rPr>
          <w:fldChar w:fldCharType="end"/>
        </w:r>
      </w:hyperlink>
    </w:p>
    <w:p w14:paraId="584D29D7" w14:textId="19FB38B6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6" w:history="1">
        <w:r w:rsidRPr="003C67C9">
          <w:rPr>
            <w:rStyle w:val="Hyperlink"/>
            <w:noProof/>
            <w:sz w:val="22"/>
          </w:rPr>
          <w:t>2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Almene specifikationer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_Toc229493126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3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234B0808" w14:textId="1177A064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7" w:history="1">
        <w:r w:rsidRPr="003C67C9">
          <w:rPr>
            <w:rStyle w:val="Hyperlink"/>
            <w:noProof/>
            <w:sz w:val="22"/>
          </w:rPr>
          <w:t>3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Projektering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_Toc229493127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4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107FD61A" w14:textId="774F6E5E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8" w:history="1">
        <w:r w:rsidRPr="003C67C9">
          <w:rPr>
            <w:rStyle w:val="Hyperlink"/>
            <w:noProof/>
            <w:sz w:val="22"/>
          </w:rPr>
          <w:t>4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Produktion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_Toc229493128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5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7F49C3E3" w14:textId="77777777" w:rsidR="00536219" w:rsidRDefault="00000000" w:rsidP="00536219">
      <w:pPr>
        <w:spacing w:before="0" w:after="0"/>
        <w:rPr>
          <w:sz w:val="22"/>
        </w:rPr>
      </w:pPr>
      <w:r w:rsidRPr="003C67C9">
        <w:rPr>
          <w:sz w:val="22"/>
        </w:rPr>
        <w:fldChar w:fldCharType="end"/>
      </w:r>
      <w:bookmarkStart w:id="0" w:name="_Toc229493125"/>
    </w:p>
    <w:p w14:paraId="0C092865" w14:textId="77777777" w:rsidR="00536219" w:rsidRDefault="00536219" w:rsidP="00536219"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1</w:t>
      </w:r>
      <w:r>
        <w:tab/>
        <w:t xml:space="preserve">Omfang</w:t>
      </w:r>
    </w:p>
    <w:p>
      <w:pPr>
        <w:pStyle w:val="Heading2"/>
      </w:pPr>
      <w:r>
        <w:t xml:space="preserve">1.1</w:t>
      </w:r>
      <w:r>
        <w:tab/>
        <w:t xml:space="preserve">Generelt</w:t>
      </w:r>
    </w:p>
    <w:p>
      <w:r>
        <w:t xml:space="preserve">Arbejdet omfatter levering af VELUX fladtagsvinduer til indbygning i flade tage med taghældning 0–15°.</w:t>
      </w:r>
    </w:p>
    <w:p>
      <w:pPr>
        <w:pStyle w:val="Heading2"/>
      </w:pPr>
      <w:r>
        <w:t xml:space="preserve">1.2</w:t>
      </w:r>
      <w:r>
        <w:tab/>
        <w:t xml:space="preserve">Bygningsdele og processer</w:t>
      </w:r>
    </w:p>
    <w:p>
      <w:r>
        <w:t xml:space="preserve">Denne bygningsdelsbeskrivelse omfatter projektering, produktion på fabrik og levering af følgende bygningsdele: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V.01</w:t>
      </w:r>
      <w:r>
        <w:t xml:space="preserve"> — VELUX fladtagsvindue med fast karm (CFP) og akryl-kuppel, kuppel-materiale: &lt;Klar (ISD 0000); Opal/uigennemsigtig (ISD 0100)&gt;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V.02</w:t>
      </w:r>
      <w:r>
        <w:t xml:space="preserve"> — VELUX fladtagsvindue med oplukkelig karm (CVP) og akryl-kuppel, kuppel-materiale: &lt;Klar (ISD 0000); Opal/uigennemsigtig (ISD 0100)&gt;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V.03</w:t>
      </w:r>
      <w:r>
        <w:t xml:space="preserve"> — VELUX fladtagsvindue med fast karm (CFP) og flad rammefri topglas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V.04</w:t>
      </w:r>
      <w:r>
        <w:t xml:space="preserve"> — VELUX fladtagsvindue med oplukkelig karm (CVP) og flad rammefri topglas</w:t>
      </w:r>
    </w:p>
    <w:p>
      <w:r>
        <w:t xml:space="preserve">Bygningsdelene er lokaliseret på flade tage med taghældning 0–15° på &lt;bygning x, y og z&gt; iht. tagplan.</w:t>
      </w:r>
    </w:p>
    <w:p>
      <w:r>
        <w:t xml:space="preserve">Følgende bygningsdele indgår i den brandmæssige klassifikation for bygningen: &lt;x — angives af helhedsprojekterende&gt;</w:t>
      </w:r>
    </w:p>
    <w:p>
      <w:r>
        <w:t xml:space="preserve">Mængder fremgår af tilbudslisten.</w:t>
      </w:r>
    </w:p>
    <w:p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2</w:t>
      </w:r>
      <w:r>
        <w:tab/>
        <w:t xml:space="preserve">Almene specifikationer</w:t>
      </w:r>
    </w:p>
    <w:p>
      <w:pPr>
        <w:pStyle w:val="Heading2"/>
      </w:pPr>
      <w:r>
        <w:t xml:space="preserve">2.1</w:t>
      </w:r>
      <w:r>
        <w:tab/>
        <w:t xml:space="preserve">Generelt</w:t>
      </w:r>
    </w:p>
    <w:p>
      <w:r>
        <w:t xml:space="preserve">Molio S240.01.01 Vindue, dør og port, leverance, basisbeskrivelse og Molio S240.02.01 Vindue, dør og port, montage, basisbeskrivelse er sammen med denne bygningsdelsbeskrivelse gældende for ydelsen.</w:t>
      </w:r>
    </w:p>
    <w:p>
      <w:r>
        <w:t xml:space="preserve">Der skal påregnes deltagelse i &lt;x&gt; projektgennemgangsmøder.</w:t>
      </w:r>
    </w:p>
    <w:p>
      <w:pPr>
        <w:pStyle w:val="Heading2"/>
      </w:pPr>
      <w:r>
        <w:t xml:space="preserve">2.3</w:t>
      </w:r>
      <w:r>
        <w:tab/>
        <w:t xml:space="preserve">Andet gældende projektmateriale</w:t>
      </w:r>
    </w:p>
    <w:p>
      <w:r>
        <w:t xml:space="preserve">Følgende grundlag er gældende sammen med denne bygningsdelsbeskrivelse:</w:t>
      </w:r>
    </w:p>
    <w:p>
      <w:pPr>
        <w:pStyle w:val="ListParagraph"/>
        <w:numPr>
          <w:ilvl w:val="0"/>
          <w:numId w:val="1"/>
        </w:numPr>
      </w:pPr>
      <w:r>
        <w:t xml:space="preserve">Tagplan med placering og typenummerering af vinduer</w:t>
      </w:r>
    </w:p>
    <w:p>
      <w:pPr>
        <w:pStyle w:val="ListParagraph"/>
        <w:numPr>
          <w:ilvl w:val="0"/>
          <w:numId w:val="1"/>
        </w:numPr>
      </w:pPr>
      <w:r>
        <w:t xml:space="preserve">Snittegninger af tagopbygning ved hvert vinduestype</w:t>
      </w:r>
    </w:p>
    <w:p>
      <w:pPr>
        <w:pStyle w:val="ListParagraph"/>
        <w:numPr>
          <w:ilvl w:val="0"/>
          <w:numId w:val="1"/>
        </w:numPr>
      </w:pPr>
      <w:r>
        <w:t xml:space="preserve">Detaljetegninger af tilslutning til dampspærre og tagdækning</w:t>
      </w:r>
    </w:p>
    <w:p>
      <w:pPr>
        <w:pStyle w:val="ListParagraph"/>
        <w:numPr>
          <w:ilvl w:val="0"/>
          <w:numId w:val="1"/>
        </w:numPr>
      </w:pPr>
      <w:r>
        <w:t xml:space="preserve">VELUX' størrelsesdiagram (seneste version)</w:t>
      </w:r>
    </w:p>
    <w:p>
      <w:pPr>
        <w:pStyle w:val="ListParagraph"/>
        <w:numPr>
          <w:ilvl w:val="0"/>
          <w:numId w:val="1"/>
        </w:numPr>
      </w:pPr>
      <w:r>
        <w:t xml:space="preserve">VELUX' monteringsvejledning for CFP/CVP og ISD</w:t>
      </w:r>
    </w:p>
    <w:p>
      <w:pPr>
        <w:pStyle w:val="Heading2"/>
      </w:pPr>
      <w:r>
        <w:t xml:space="preserve">2.4</w:t>
      </w:r>
      <w:r>
        <w:tab/>
        <w:t xml:space="preserve">Referencer</w:t>
      </w:r>
    </w:p>
    <w:p>
      <w:pPr>
        <w:pStyle w:val="Heading3"/>
      </w:pPr>
      <w:r>
        <w:t xml:space="preserve">2.4.2</w:t>
      </w:r>
      <w:r>
        <w:tab/>
        <w:t xml:space="preserve">Referencer, der er generelt gældende</w:t>
      </w:r>
    </w:p>
    <w:p>
      <w:r>
        <w:t xml:space="preserve">Udover, de i referencelisten for basisbeskrivelsen angivne referencer, er følgende referencer gældende:</w:t>
      </w:r>
    </w:p>
    <w:p>
      <w:pPr>
        <w:pStyle w:val="ListParagraph"/>
        <w:numPr>
          <w:ilvl w:val="0"/>
          <w:numId w:val="1"/>
        </w:numPr>
      </w:pPr>
      <w:r>
        <w:t xml:space="preserve">DS/EN 1873 — Prefabricated accessories for roofing — Plastic rooflights (CE-mærkning for ovenlys)</w:t>
      </w:r>
    </w:p>
    <w:p>
      <w:pPr>
        <w:pStyle w:val="ListParagraph"/>
        <w:numPr>
          <w:ilvl w:val="0"/>
          <w:numId w:val="1"/>
        </w:numPr>
      </w:pPr>
      <w:r>
        <w:t xml:space="preserve">DS/EN 14351-1 — Vinduer og udvendige døre uden brand- og røgegenskaber, produktstandard</w:t>
      </w:r>
    </w:p>
    <w:p>
      <w:pPr>
        <w:pStyle w:val="ListParagraph"/>
        <w:numPr>
          <w:ilvl w:val="0"/>
          <w:numId w:val="1"/>
        </w:numPr>
      </w:pPr>
      <w:r>
        <w:t xml:space="preserve">DS/EN 13501-1 — Klassifikation af byggevarers reaktion ved brand</w:t>
      </w:r>
    </w:p>
    <w:p>
      <w:pPr>
        <w:pStyle w:val="ListParagraph"/>
        <w:numPr>
          <w:ilvl w:val="0"/>
          <w:numId w:val="1"/>
        </w:numPr>
      </w:pPr>
      <w:r>
        <w:t xml:space="preserve">DS/EN 13501-5 — Klassifikation af tagdækninger ved udvendig brandpåvirkning</w:t>
      </w:r>
    </w:p>
    <w:p>
      <w:pPr>
        <w:pStyle w:val="ListParagraph"/>
        <w:numPr>
          <w:ilvl w:val="0"/>
          <w:numId w:val="1"/>
        </w:numPr>
      </w:pPr>
      <w:r>
        <w:t xml:space="preserve">DS/EN 1627 — Indbrudssikkerhedsklassificering (RC-klasser)</w:t>
      </w:r>
    </w:p>
    <w:p>
      <w:pPr>
        <w:pStyle w:val="ListParagraph"/>
        <w:numPr>
          <w:ilvl w:val="0"/>
          <w:numId w:val="1"/>
        </w:numPr>
      </w:pPr>
      <w:r>
        <w:t xml:space="preserve">DS/EN ISO 717-1 — Bedømmelse af lydisolering i bygninger — luftbåren lyd</w:t>
      </w:r>
    </w:p>
    <w:p>
      <w:pPr>
        <w:pStyle w:val="ListParagraph"/>
        <w:numPr>
          <w:ilvl w:val="0"/>
          <w:numId w:val="1"/>
        </w:numPr>
      </w:pPr>
      <w:r>
        <w:t xml:space="preserve">DS/EN ISO 10140 — Måling af bygningselementers lydisolering i laboratorium</w:t>
      </w:r>
    </w:p>
    <w:p>
      <w:pPr>
        <w:pStyle w:val="ListParagraph"/>
        <w:numPr>
          <w:ilvl w:val="0"/>
          <w:numId w:val="1"/>
        </w:numPr>
      </w:pPr>
      <w:r>
        <w:t xml:space="preserve">DS/EN 15804+A2 — Bæredygtighed i byggeri — EPD-standard</w:t>
      </w:r>
    </w:p>
    <w:p>
      <w:pPr>
        <w:pStyle w:val="ListParagraph"/>
        <w:numPr>
          <w:ilvl w:val="0"/>
          <w:numId w:val="1"/>
        </w:numPr>
      </w:pPr>
      <w:r>
        <w:t xml:space="preserve">DS/ISO 14025 — Miljømærker og -deklarationer — Type III-deklarationer (EPD-program)</w:t>
      </w:r>
    </w:p>
    <w:p>
      <w:pPr>
        <w:pStyle w:val="Heading2"/>
      </w:pPr>
      <w:r>
        <w:t xml:space="preserve">2.10</w:t>
      </w:r>
      <w:r>
        <w:tab/>
        <w:t xml:space="preserve">Dokumentation</w:t>
      </w:r>
    </w:p>
    <w:p>
      <w:pPr>
        <w:pStyle w:val="Heading3"/>
      </w:pPr>
      <w:r>
        <w:t xml:space="preserve">2.10.3</w:t>
      </w:r>
      <w:r>
        <w:tab/>
        <w:t xml:space="preserve">D&amp;V-dokumentation</w:t>
      </w:r>
    </w:p>
    <w:p>
      <w:r>
        <w:t xml:space="preserve">Ved aflevering af bygningsdelen skal entreprenøren stille følgende drifts- og vedligeholdsdokumentation til rådighed:</w:t>
      </w:r>
    </w:p>
    <w:p>
      <w:pPr>
        <w:pStyle w:val="ListParagraph"/>
        <w:numPr>
          <w:ilvl w:val="0"/>
          <w:numId w:val="1"/>
        </w:numPr>
      </w:pPr>
      <w:r>
        <w:t xml:space="preserve">Brugsanvisning</w:t>
      </w:r>
    </w:p>
    <w:p>
      <w:pPr>
        <w:pStyle w:val="ListParagraph"/>
        <w:numPr>
          <w:ilvl w:val="0"/>
          <w:numId w:val="1"/>
        </w:numPr>
      </w:pPr>
      <w:r>
        <w:t xml:space="preserve">Reparations- og vedligeholdelsesvejledning</w:t>
      </w:r>
    </w:p>
    <w:p>
      <w:pPr>
        <w:pStyle w:val="ListParagraph"/>
        <w:numPr>
          <w:ilvl w:val="0"/>
          <w:numId w:val="1"/>
        </w:numPr>
      </w:pPr>
      <w:r>
        <w:t xml:space="preserve">Datablade for alle anvendte materialer</w:t>
      </w:r>
    </w:p>
    <w:p>
      <w:pPr>
        <w:pStyle w:val="ListParagraph"/>
        <w:numPr>
          <w:ilvl w:val="0"/>
          <w:numId w:val="1"/>
        </w:numPr>
      </w:pPr>
      <w:r>
        <w:t xml:space="preserve">Garantibevis</w:t>
      </w:r>
    </w:p>
    <w:p>
      <w:pPr>
        <w:pStyle w:val="ListParagraph"/>
        <w:numPr>
          <w:ilvl w:val="0"/>
          <w:numId w:val="1"/>
        </w:numPr>
      </w:pPr>
      <w:r>
        <w:t xml:space="preserve">Oversigt over forventet levetid for bygningsdelen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D&amp;V-dokumentation skal leveres digitalt på &lt;x&gt;.</w:t>
      </w:r>
    </w:p>
    <w:p>
      <w:pPr>
        <w:pStyle w:val="Heading2"/>
      </w:pPr>
      <w:r>
        <w:t xml:space="preserve">2.12</w:t>
      </w:r>
      <w:r>
        <w:tab/>
        <w:t xml:space="preserve">Relationer til andre arbejder</w:t>
      </w:r>
    </w:p>
    <w:p>
      <w:pPr>
        <w:pStyle w:val="Heading3"/>
      </w:pPr>
      <w:r>
        <w:t xml:space="preserve">2.12.2</w:t>
      </w:r>
      <w:r>
        <w:tab/>
        <w:t xml:space="preserve">Relaterede arbejder</w:t>
      </w:r>
    </w:p>
    <w:p>
      <w:pPr>
        <w:pStyle w:val="Heading4"/>
      </w:pPr>
      <w:r>
        <w:t xml:space="preserve">2.12.2.1</w:t>
      </w:r>
      <w:r>
        <w:tab/>
        <w:t xml:space="preserve">Generelt</w:t>
      </w:r>
    </w:p>
    <w:p>
      <w:r>
        <w:t xml:space="preserve">Der skal koordineres med følgende bygningsdele/arbejder:</w:t>
      </w:r>
    </w:p>
    <w:p>
      <w:pPr>
        <w:pStyle w:val="ListParagraph"/>
        <w:numPr>
          <w:ilvl w:val="0"/>
          <w:numId w:val="1"/>
        </w:numPr>
      </w:pPr>
      <w:r>
        <w:t xml:space="preserve">Tagkonstruktion (hul-dimensioner, bæreevne)</w:t>
      </w:r>
    </w:p>
    <w:p>
      <w:pPr>
        <w:pStyle w:val="ListParagraph"/>
        <w:numPr>
          <w:ilvl w:val="0"/>
          <w:numId w:val="1"/>
        </w:numPr>
      </w:pPr>
      <w:r>
        <w:t xml:space="preserve">Tagdækning (påsvejsning af tagpap eller tagmembran op langs karm)</w:t>
      </w:r>
    </w:p>
    <w:p>
      <w:pPr>
        <w:pStyle w:val="ListParagraph"/>
        <w:numPr>
          <w:ilvl w:val="0"/>
          <w:numId w:val="1"/>
        </w:numPr>
      </w:pPr>
      <w:r>
        <w:t xml:space="preserve">Dampspærre (tilslutning via systemtilhørende dampspærrekrave)</w:t>
      </w:r>
    </w:p>
    <w:p>
      <w:pPr>
        <w:pStyle w:val="ListParagraph"/>
        <w:numPr>
          <w:ilvl w:val="0"/>
          <w:numId w:val="1"/>
        </w:numPr>
      </w:pPr>
      <w:r>
        <w:t xml:space="preserve">Lofter (lysningspanelets indvendige afslutning)</w:t>
      </w:r>
    </w:p>
    <w:p>
      <w:pPr>
        <w:pStyle w:val="ListParagraph"/>
        <w:numPr>
          <w:ilvl w:val="0"/>
          <w:numId w:val="1"/>
        </w:numPr>
      </w:pPr>
      <w:r>
        <w:t xml:space="preserve">Stærkstrømsinstallationer (kun V.03 og V.04 — elektrisk motor)</w:t>
      </w:r>
    </w:p>
    <w:p>
      <w:pPr>
        <w:pStyle w:val="ListParagraph"/>
        <w:numPr>
          <w:ilvl w:val="0"/>
          <w:numId w:val="1"/>
        </w:numPr>
      </w:pPr>
      <w:r>
        <w:t xml:space="preserve">Bygningsautomation/CTS (option, ved KLF150-tilslutning)</w:t>
      </w:r>
    </w:p>
    <w:p>
      <w:pPr>
        <w:spacing w:before="0" w:after="0"/>
        <w:sectPr w:rsidR="00F80CC0" w:rsidSect="00F80CC0">
          <w:headerReference w:type="default" r:id="rId9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3</w:t>
      </w:r>
      <w:r>
        <w:tab/>
        <w:t xml:space="preserve">Projektering</w:t>
      </w:r>
    </w:p>
    <w:p>
      <w:pPr>
        <w:pStyle w:val="Heading2"/>
      </w:pPr>
      <w:r>
        <w:t xml:space="preserve">3.1</w:t>
      </w:r>
      <w:r>
        <w:tab/>
        <w:t xml:space="preserve">Generelt</w:t>
      </w:r>
    </w:p>
    <w:p>
      <w:r>
        <w:t xml:space="preserve">Den helhedsprojekterende er: &lt;x&gt;</w:t>
      </w:r>
    </w:p>
    <w:p>
      <w:r>
        <w:t xml:space="preserve">Grundlaget for projekteringen af fladtagsvinduerne angives i DVV (Dansk Vindues Verifikation).</w:t>
      </w:r>
    </w:p>
    <w:p>
      <w:pPr>
        <w:pStyle w:val="Heading1"/>
        <w:sectPr w:rsidR="00F80CC0" w:rsidSect="00F80CC0">
          <w:headerReference w:type="default" r:id="rId10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4</w:t>
      </w:r>
      <w:r>
        <w:tab/>
        <w:t xml:space="preserve">Produktion</w:t>
      </w:r>
    </w:p>
    <w:p>
      <w:pPr>
        <w:pStyle w:val="Heading2"/>
      </w:pPr>
      <w:r>
        <w:t xml:space="preserve">4.6</w:t>
      </w:r>
      <w:r>
        <w:tab/>
        <w:t xml:space="preserve">Mål og tolerancer</w:t>
      </w:r>
    </w:p>
    <w:p>
      <w:pPr>
        <w:pStyle w:val="Heading3"/>
      </w:pPr>
      <w:r>
        <w:t xml:space="preserve">4.6.3</w:t>
      </w:r>
      <w:r>
        <w:tab/>
        <w:t xml:space="preserve">Tolerancer</w:t>
      </w:r>
    </w:p>
    <w:p>
      <w:r>
        <w:t xml:space="preserve">Følgende specielle tolerancekrav er gældende:</w:t>
      </w:r>
    </w:p>
    <w:p>
      <w:pPr>
        <w:pStyle w:val="ListParagraph"/>
        <w:numPr>
          <w:ilvl w:val="0"/>
          <w:numId w:val="1"/>
        </w:numPr>
      </w:pPr>
      <w:r>
        <w:t xml:space="preserve">Hul i tagdæk afsættes iht. VELUX' størrelsesdiagram for det valgte vindue</w:t>
      </w:r>
    </w:p>
    <w:p>
      <w:pPr>
        <w:pStyle w:val="ListParagraph"/>
        <w:numPr>
          <w:ilvl w:val="0"/>
          <w:numId w:val="1"/>
        </w:numPr>
      </w:pPr>
      <w:r>
        <w:t xml:space="preserve">Karmens vatring efter montage iht. VELUX' monteringsvejledning</w:t>
      </w:r>
    </w:p>
    <w:p>
      <w:pPr>
        <w:pStyle w:val="Heading2"/>
      </w:pPr>
      <w:r>
        <w:t xml:space="preserve">4.7</w:t>
      </w:r>
      <w:r>
        <w:tab/>
        <w:t xml:space="preserve">Materialer og produkter</w:t>
      </w:r>
    </w:p>
    <w:p>
      <w:pPr>
        <w:pStyle w:val="Heading3"/>
      </w:pPr>
      <w:r>
        <w:t xml:space="preserve">4.7.5</w:t>
      </w:r>
      <w:r>
        <w:tab/>
        <w:t xml:space="preserve">Glas</w:t>
      </w:r>
    </w:p>
    <w:p>
      <w:r>
        <w:t xml:space="preserve">Anvendelse: Termoruder i fladtagsvinduernes karm.</w:t>
      </w:r>
    </w:p>
    <w:p>
      <w:r>
        <w:rPr>
          <w:b/>
        </w:rPr>
        <w:t xml:space="preserve">Rude-varianter — alle med argonfyldning og lavemissions-belægning. Indvendig rude er lamineret sikkerhedsglas.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Variant</w:t>
            </w:r>
          </w:p>
        </w:tc>
        <w:tc>
          <w:tcPr>
            <w:shd w:val="clear" w:color="auto" w:fill="EFEFEF"/>
          </w:tcPr>
          <w:p>
            <w:r>
              <w:t xml:space="preserve">Type</w:t>
            </w:r>
          </w:p>
        </w:tc>
        <w:tc>
          <w:tcPr>
            <w:shd w:val="clear" w:color="auto" w:fill="EFEFEF"/>
          </w:tcPr>
          <w:p>
            <w:r>
              <w:t xml:space="preserve">Konstruktion (indv. → udv.)</w:t>
            </w:r>
          </w:p>
        </w:tc>
      </w:tr>
      <w:tr>
        <w:tc>
          <w:tcPr/>
          <w:p>
            <w:r>
              <w:t xml:space="preserve">Rude 73UT</w:t>
            </w:r>
          </w:p>
        </w:tc>
        <w:tc>
          <w:tcPr/>
          <w:p>
            <w:r>
              <w:t xml:space="preserve">Tolagsrude</w:t>
            </w:r>
          </w:p>
        </w:tc>
        <w:tc>
          <w:tcPr/>
          <w:p>
            <w:r>
              <w:t xml:space="preserve">6,8 mm lamineret + 14,5 mm argon + 4 mm floatglas</w:t>
            </w:r>
          </w:p>
        </w:tc>
      </w:tr>
      <w:tr>
        <w:tc>
          <w:tcPr/>
          <w:p>
            <w:r>
              <w:t xml:space="preserve">Rude 73FQV</w:t>
            </w:r>
          </w:p>
        </w:tc>
        <w:tc>
          <w:tcPr/>
          <w:p>
            <w:r>
              <w:t xml:space="preserve">Tolagsrude, indbrudssikret</w:t>
            </w:r>
          </w:p>
        </w:tc>
        <w:tc>
          <w:tcPr/>
          <w:p>
            <w:r>
              <w:t xml:space="preserve">7,5 mm lamineret + 14,5 mm argon + 4 mm floatglas</w:t>
            </w:r>
          </w:p>
        </w:tc>
      </w:tr>
    </w:tbl>
    <w:p/>
    <w:p>
      <w:r>
        <w:rPr>
          <w:b/>
        </w:rPr>
        <w:t xml:space="preserve">Klassifikationer (for ruden alene):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B-s1,d0 iht. DS/EN 13501-1</w:t>
      </w:r>
    </w:p>
    <w:p>
      <w:pPr>
        <w:pStyle w:val="ListParagraph"/>
        <w:numPr>
          <w:ilvl w:val="0"/>
          <w:numId w:val="1"/>
        </w:numPr>
      </w:pPr>
      <w:r>
        <w:t xml:space="preserve">Indbrudssikring (kun Rude 73FQV): Klasse RC2 iht. DS/EN 1627</w:t>
      </w:r>
    </w:p>
    <w:p>
      <w:pPr>
        <w:pStyle w:val="ListParagraph"/>
        <w:numPr>
          <w:ilvl w:val="0"/>
          <w:numId w:val="1"/>
        </w:numPr>
      </w:pPr>
      <w:r>
        <w:t xml:space="preserve">Lydisolering Rw: 36 dB iht. DS/EN ISO 717-1</w:t>
      </w:r>
    </w:p>
    <w:p>
      <w:r>
        <w:rPr>
          <w:b/>
        </w:rPr>
        <w:t xml:space="preserve">Topvariant A — akryl-kuppel (V.01 og V.02):</w:t>
      </w:r>
    </w:p>
    <w:p>
      <w:pPr>
        <w:pStyle w:val="ListParagraph"/>
        <w:numPr>
          <w:ilvl w:val="0"/>
          <w:numId w:val="1"/>
        </w:numPr>
      </w:pPr>
      <w:r>
        <w:t xml:space="preserve">Hvælvet ridsefast kuppel i akryl, fabriksintegreret i karm</w:t>
      </w:r>
    </w:p>
    <w:p>
      <w:pPr>
        <w:pStyle w:val="ListParagraph"/>
        <w:numPr>
          <w:ilvl w:val="0"/>
          <w:numId w:val="1"/>
        </w:numPr>
      </w:pPr>
      <w:r>
        <w:t xml:space="preserve">Afrundet form leder vand og sne bort selv ved 0° taghældning</w:t>
      </w:r>
    </w:p>
    <w:p>
      <w:pPr>
        <w:pStyle w:val="ListParagraph"/>
        <w:numPr>
          <w:ilvl w:val="0"/>
          <w:numId w:val="1"/>
        </w:numPr>
      </w:pPr>
      <w:r>
        <w:t xml:space="preserve">Kuppel-materiale: &lt;ISD 0000 — klar akryl, lystransmittans τv 0,68–0,72; ISD 0100 — opal akryl (uigennemsigtig), lystransmittans τv 0,15–0,25&gt;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B-s1,d0 iht. DS/EN 13501-1</w:t>
      </w:r>
    </w:p>
    <w:p>
      <w:r>
        <w:rPr>
          <w:b/>
        </w:rPr>
        <w:t xml:space="preserve">Topvariant B — flad rammefri topglas (V.03 og V.04):</w:t>
      </w:r>
    </w:p>
    <w:p>
      <w:pPr>
        <w:pStyle w:val="ListParagraph"/>
        <w:numPr>
          <w:ilvl w:val="0"/>
          <w:numId w:val="1"/>
        </w:numPr>
      </w:pPr>
      <w:r>
        <w:t xml:space="preserve">Hærdet topglas i flad rammefri konstruktion, fabriksintegreret i karm</w:t>
      </w:r>
    </w:p>
    <w:p>
      <w:pPr>
        <w:pStyle w:val="ListParagraph"/>
        <w:numPr>
          <w:ilvl w:val="0"/>
          <w:numId w:val="1"/>
        </w:numPr>
      </w:pPr>
      <w:r>
        <w:t xml:space="preserve">Rammefri overkant — fri afvanding og rengøringsvenlig overflade; forhindrer opsamling af snavs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B-s1,d0 iht. DS/EN 13501-1</w:t>
      </w:r>
    </w:p>
    <w:p>
      <w:r>
        <w:t xml:space="preserve">Samlet U-værdi for vinduet (rude + karm + topvariant) er angivet under 4.7.10 Vinduer.</w:t>
      </w:r>
    </w:p>
    <w:p>
      <w:pPr>
        <w:pStyle w:val="Heading3"/>
      </w:pPr>
      <w:r>
        <w:t xml:space="preserve">4.7.10</w:t>
      </w:r>
      <w:r>
        <w:tab/>
        <w:t xml:space="preserve">Vinduer</w:t>
      </w:r>
    </w:p>
    <w:p>
      <w:r>
        <w:t xml:space="preserve">System
</w:t>
      </w:r>
    </w:p>
    <w:p>
      <w:r>
        <w:t xml:space="preserve">VELUX fladtagsvindue, C_P-serien (FRW 1.0). Designet til indbygning i flade tage med taghældning 0-15°.</w:t>
      </w:r>
    </w:p>
    <w:p>
      <w:r>
        <w:t xml:space="preserve">
Fælles komponenter for alle typer
</w:t>
      </w:r>
    </w:p>
    <w:p>
      <w:r>
        <w:rPr>
          <w:b/>
        </w:rPr>
        <w:t xml:space="preserve">Karm</w:t>
      </w:r>
    </w:p>
    <w:p>
      <w:r>
        <w:t xml:space="preserve">Materiale: Ekstruderet PVC, isoleret med polystyren. Glat hvid vedligeholdelsesfri overflade indvendigt. Karmen indeholder ikke organisk materiale og er egnet til vådrum.</w:t>
      </w:r>
    </w:p>
    <w:p>
      <w:r>
        <w:t xml:space="preserve">Karmen har integreret dampspærre-tilslutning samt notgang til montage af lysningspaneler. Trækantslister er integreret i karmen.</w:t>
      </w:r>
    </w:p>
    <w:p>
      <w:r>
        <w:rPr>
          <w:b/>
        </w:rPr>
        <w:t xml:space="preserve">Rude</w:t>
      </w:r>
    </w:p>
    <w:p>
      <w:r>
        <w:t xml:space="preserve">Termorude i karm. Rudevariant vælges pr. vindue iht. projektets energi- og sikkerhedskrav. Detaljerede konstruktioner og klassifikationer er angivet under 4.7.5 Glas.</w:t>
      </w:r>
    </w:p>
    <w:p>
      <w:r>
        <w:rPr>
          <w:b/>
        </w:rPr>
        <w:t xml:space="preserve">Motor (kun V.02 og V.04 - oplukkelige typer)</w:t>
      </w:r>
    </w:p>
    <w:p>
      <w:pPr>
        <w:pStyle w:val="ListParagraph"/>
        <w:numPr>
          <w:ilvl w:val="0"/>
          <w:numId w:val="1"/>
        </w:numPr>
      </w:pPr>
      <w:r>
        <w:t xml:space="preserve">Elektrisk motor: 230 V AC, integreret i karmen</w:t>
      </w:r>
    </w:p>
    <w:p>
      <w:pPr>
        <w:pStyle w:val="ListParagraph"/>
        <w:numPr>
          <w:ilvl w:val="0"/>
          <w:numId w:val="1"/>
        </w:numPr>
      </w:pPr>
      <w:r>
        <w:t xml:space="preserve">Integreret regnsensor med automatisk lukning</w:t>
      </w:r>
    </w:p>
    <w:p>
      <w:pPr>
        <w:pStyle w:val="ListParagraph"/>
        <w:numPr>
          <w:ilvl w:val="0"/>
          <w:numId w:val="1"/>
        </w:numPr>
      </w:pPr>
      <w:r>
        <w:t xml:space="preserve">Trådløs fjernbetjening medfølger</w:t>
      </w:r>
    </w:p>
    <w:p>
      <w:r>
        <w:rPr>
          <w:b/>
        </w:rPr>
        <w:t xml:space="preserve">Styringssystem (kun V.02 og V.04)</w:t>
      </w:r>
    </w:p>
    <w:p>
      <w:pPr>
        <w:pStyle w:val="ListParagraph"/>
        <w:numPr>
          <w:ilvl w:val="0"/>
          <w:numId w:val="1"/>
        </w:numPr>
      </w:pPr>
      <w:r>
        <w:t xml:space="preserve">&lt;KLF150 - tilslutningsmodul til CTS / bygningsautomation&gt;</w:t>
      </w:r>
    </w:p>
    <w:p>
      <w:pPr>
        <w:pStyle w:val="ListParagraph"/>
        <w:numPr>
          <w:ilvl w:val="0"/>
          <w:numId w:val="1"/>
        </w:numPr>
      </w:pPr>
      <w:r>
        <w:t xml:space="preserve">&lt;Mulighed for sensorbaseret automatisk styring via rumlige sensorer&gt;</w:t>
      </w:r>
    </w:p>
    <w:p>
      <w:r>
        <w:rPr>
          <w:b/>
        </w:rPr>
        <w:t xml:space="preserve">Tilbehør (systemtilhørende)</w:t>
      </w:r>
    </w:p>
    <w:p>
      <w:pPr>
        <w:pStyle w:val="ListParagraph"/>
        <w:numPr>
          <w:ilvl w:val="0"/>
          <w:numId w:val="1"/>
        </w:numPr>
      </w:pPr>
      <w:r>
        <w:t xml:space="preserve">Karmforhøjer ZCE 0015/1015 - op til 4 stk à 150 mm pr. vindue</w:t>
      </w:r>
    </w:p>
    <w:p>
      <w:pPr>
        <w:pStyle w:val="ListParagraph"/>
        <w:numPr>
          <w:ilvl w:val="0"/>
          <w:numId w:val="1"/>
        </w:numPr>
      </w:pPr>
      <w:r>
        <w:t xml:space="preserve">Dampspærrekrave - tapefri, klemmes fast i konstruktionens not</w:t>
      </w:r>
    </w:p>
    <w:p>
      <w:pPr>
        <w:pStyle w:val="ListParagraph"/>
        <w:numPr>
          <w:ilvl w:val="0"/>
          <w:numId w:val="1"/>
        </w:numPr>
      </w:pPr>
      <w:r>
        <w:t xml:space="preserve">Fastgørelsesliste til tagpap - sikringssæt ZZZ 210</w:t>
      </w:r>
    </w:p>
    <w:p>
      <w:pPr>
        <w:pStyle w:val="ListParagraph"/>
        <w:numPr>
          <w:ilvl w:val="0"/>
          <w:numId w:val="1"/>
        </w:numPr>
      </w:pPr>
      <w:r>
        <w:t xml:space="preserve">Lysningspanel LSF 2000 - dybdetilpasset indvendig afslutning</w:t>
      </w:r>
    </w:p>
    <w:p>
      <w:r>
        <w:t xml:space="preserve">
Vinduestyper
</w:t>
      </w:r>
    </w:p>
    <w:p>
      <w:r>
        <w:rPr>
          <w:u w:val="single"/>
        </w:rPr>
        <w:t xml:space="preserve">V.01 - Fast karm med akryl-kuppel (CFP)</w:t>
      </w:r>
    </w:p>
    <w:p>
      <w:pPr>
        <w:pStyle w:val="ListParagraph"/>
        <w:numPr>
          <w:ilvl w:val="0"/>
          <w:numId w:val="1"/>
        </w:numPr>
      </w:pPr>
      <w:r>
        <w:t xml:space="preserve">Karm: CFP (fast)</w:t>
      </w:r>
    </w:p>
    <w:p>
      <w:pPr>
        <w:pStyle w:val="ListParagraph"/>
        <w:numPr>
          <w:ilvl w:val="0"/>
          <w:numId w:val="1"/>
        </w:numPr>
      </w:pPr>
      <w:r>
        <w:t xml:space="preserve">Top: Hvælvet akryl-kuppel, fabriksintegreret. Kuppel-materiale: &lt;Klar (ISD 0000); Opal/uigennemsigtig (ISD 0100)&gt;</w:t>
      </w:r>
    </w:p>
    <w:p>
      <w:pPr>
        <w:pStyle w:val="ListParagraph"/>
        <w:numPr>
          <w:ilvl w:val="0"/>
          <w:numId w:val="1"/>
        </w:numPr>
      </w:pPr>
      <w:r>
        <w:t xml:space="preserve">Rude: &lt;Rude 73UT; Rude 73FQV&gt;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akryl-kuppel,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rPr>
          <w:u w:val="single"/>
        </w:rPr>
        <w:t xml:space="preserve">V.02 - Oplukkelig karm med akryl-kuppel (CVP)</w:t>
      </w:r>
    </w:p>
    <w:p>
      <w:pPr>
        <w:pStyle w:val="ListParagraph"/>
        <w:numPr>
          <w:ilvl w:val="0"/>
          <w:numId w:val="1"/>
        </w:numPr>
      </w:pPr>
      <w:r>
        <w:t xml:space="preserve">Karm: CVP (oplukkelig, elektrisk motor 230 V)</w:t>
      </w:r>
    </w:p>
    <w:p>
      <w:pPr>
        <w:pStyle w:val="ListParagraph"/>
        <w:numPr>
          <w:ilvl w:val="0"/>
          <w:numId w:val="1"/>
        </w:numPr>
      </w:pPr>
      <w:r>
        <w:t xml:space="preserve">Top: Hvælvet akryl-kuppel, fabriksintegreret. Kuppel-materiale: &lt;Klar (ISD 0000); Opal/uigennemsigtig (ISD 0100)&gt;</w:t>
      </w:r>
    </w:p>
    <w:p>
      <w:pPr>
        <w:pStyle w:val="ListParagraph"/>
        <w:numPr>
          <w:ilvl w:val="0"/>
          <w:numId w:val="1"/>
        </w:numPr>
      </w:pPr>
      <w:r>
        <w:t xml:space="preserve">Rude: &lt;Rude 73UT; Rude 73FQV&gt;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akryl-kuppel,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rPr>
          <w:u w:val="single"/>
        </w:rPr>
        <w:t xml:space="preserve">V.03 - Fast karm med flad rammefri topglas (CFP)</w:t>
      </w:r>
    </w:p>
    <w:p>
      <w:pPr>
        <w:pStyle w:val="ListParagraph"/>
        <w:numPr>
          <w:ilvl w:val="0"/>
          <w:numId w:val="1"/>
        </w:numPr>
      </w:pPr>
      <w:r>
        <w:t xml:space="preserve">Karm: CFP (fast)</w:t>
      </w:r>
    </w:p>
    <w:p>
      <w:pPr>
        <w:pStyle w:val="ListParagraph"/>
        <w:numPr>
          <w:ilvl w:val="0"/>
          <w:numId w:val="1"/>
        </w:numPr>
      </w:pPr>
      <w:r>
        <w:t xml:space="preserve">Top: Flad rammefri hærdet topglas, fabriksintegreret. Rammefri overkant - fri afvanding og rengøringsvenlig overflade</w:t>
      </w:r>
    </w:p>
    <w:p>
      <w:pPr>
        <w:pStyle w:val="ListParagraph"/>
        <w:numPr>
          <w:ilvl w:val="0"/>
          <w:numId w:val="1"/>
        </w:numPr>
      </w:pPr>
      <w:r>
        <w:t xml:space="preserve">Rude: &lt;Rude 73UT; Rude 73FQV&gt;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flad rammefri topglas,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rPr>
          <w:u w:val="single"/>
        </w:rPr>
        <w:t xml:space="preserve">V.04 - Oplukkelig karm med flad rammefri topglas (CVP)</w:t>
      </w:r>
    </w:p>
    <w:p>
      <w:pPr>
        <w:pStyle w:val="ListParagraph"/>
        <w:numPr>
          <w:ilvl w:val="0"/>
          <w:numId w:val="1"/>
        </w:numPr>
      </w:pPr>
      <w:r>
        <w:t xml:space="preserve">Karm: CVP (oplukkelig, elektrisk motor 230 V)</w:t>
      </w:r>
    </w:p>
    <w:p>
      <w:pPr>
        <w:pStyle w:val="ListParagraph"/>
        <w:numPr>
          <w:ilvl w:val="0"/>
          <w:numId w:val="1"/>
        </w:numPr>
      </w:pPr>
      <w:r>
        <w:t xml:space="preserve">Top: Flad rammefri hærdet topglas, fabriksintegreret. Rammefri overkant - fri afvanding og rengøringsvenlig overflade</w:t>
      </w:r>
    </w:p>
    <w:p>
      <w:pPr>
        <w:pStyle w:val="ListParagraph"/>
        <w:numPr>
          <w:ilvl w:val="0"/>
          <w:numId w:val="1"/>
        </w:numPr>
      </w:pPr>
      <w:r>
        <w:t xml:space="preserve">Rude: &lt;Rude 73UT; Rude 73FQV&gt;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flad rammefri topglas,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VELUX' størrelsesdiagram&gt;</w:t>
      </w:r>
    </w:p>
    <w:p>
      <w:r>
        <w:t xml:space="preserve">
Samlet U-værdi for det faktiske vindue
</w:t>
      </w:r>
    </w:p>
    <w:p>
      <w:r>
        <w:t xml:space="preserve">U-værdier er CE-mærket iht. DS/EN 1873 (Urc, ref300).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Rude</w:t>
            </w:r>
          </w:p>
        </w:tc>
        <w:tc>
          <w:tcPr>
            <w:shd w:val="clear" w:color="auto" w:fill="EFEFEF"/>
          </w:tcPr>
          <w:p>
            <w:r>
              <w:t xml:space="preserve">U-værdi med akryl-kuppel (V.01, V.02)</w:t>
            </w:r>
          </w:p>
        </w:tc>
        <w:tc>
          <w:tcPr>
            <w:shd w:val="clear" w:color="auto" w:fill="EFEFEF"/>
          </w:tcPr>
          <w:p>
            <w:r>
              <w:t xml:space="preserve">U-værdi med flad rammefri topglas (V.03, V.04)</w:t>
            </w:r>
          </w:p>
        </w:tc>
      </w:tr>
      <w:tr>
        <w:tc>
          <w:tcPr/>
          <w:p>
            <w:r>
              <w:t xml:space="preserve">Rude 73UT (tolagsrude)</w:t>
            </w:r>
          </w:p>
        </w:tc>
        <w:tc>
          <w:tcPr/>
          <w:p>
            <w:r>
              <w:t xml:space="preserve">0,76-0,87 W/m²K</w:t>
            </w:r>
          </w:p>
        </w:tc>
        <w:tc>
          <w:tcPr/>
          <w:p>
            <w:r>
              <w:t xml:space="preserve">0,75 W/m²K</w:t>
            </w:r>
          </w:p>
        </w:tc>
      </w:tr>
      <w:tr>
        <w:tc>
          <w:tcPr/>
          <w:p>
            <w:r>
              <w:t xml:space="preserve">Rude 73FQV (tolagsrude, RC2)</w:t>
            </w:r>
          </w:p>
        </w:tc>
        <w:tc>
          <w:tcPr/>
          <w:p>
            <w:r>
              <w:t xml:space="preserve">0,72-0,80 W/m²K</w:t>
            </w:r>
          </w:p>
        </w:tc>
        <w:tc>
          <w:tcPr/>
          <w:p>
            <w:r>
              <w:t xml:space="preserve">0,75 W/m²K</w:t>
            </w:r>
          </w:p>
        </w:tc>
      </w:tr>
    </w:tbl>
    <w:p/>
    <w:p>
      <w:r>
        <w:t xml:space="preserve">
Garanti, CE-mærkning og bæredygtighed
</w:t>
      </w:r>
    </w:p>
    <w:p>
      <w:pPr>
        <w:pStyle w:val="ListParagraph"/>
        <w:numPr>
          <w:ilvl w:val="0"/>
          <w:numId w:val="1"/>
        </w:numPr>
      </w:pPr>
      <w:r>
        <w:t xml:space="preserve">CE-mærkning iht. DS/EN 1873 (Prefabricated accessories for roofing - Plastic rooflights)</w:t>
      </w:r>
    </w:p>
    <w:p>
      <w:pPr>
        <w:pStyle w:val="ListParagraph"/>
        <w:numPr>
          <w:ilvl w:val="0"/>
          <w:numId w:val="1"/>
        </w:numPr>
      </w:pPr>
      <w:r>
        <w:t xml:space="preserve">Garanti: minimum 10 år, iht. VELUX' gældende garantibetingelser</w:t>
      </w:r>
    </w:p>
    <w:p>
      <w:pPr>
        <w:pStyle w:val="ListParagraph"/>
        <w:numPr>
          <w:ilvl w:val="0"/>
          <w:numId w:val="1"/>
        </w:numPr>
      </w:pPr>
      <w:r>
        <w:t xml:space="preserve">EPD (V.01-V.02): EPD-VEL-20220133-IBJ4-EN, iht. DS/EN 15804+A2 og DS/ISO 14025</w:t>
      </w:r>
    </w:p>
    <w:p>
      <w:pPr>
        <w:pStyle w:val="ListParagraph"/>
        <w:numPr>
          <w:ilvl w:val="0"/>
          <w:numId w:val="1"/>
        </w:numPr>
      </w:pPr>
      <w:r>
        <w:t xml:space="preserve">EPD (V.03-V.04): &lt;EPD-reference afventes&gt;</w:t>
      </w:r>
    </w:p>
    <w:p>
      <w:pPr>
        <w:pStyle w:val="Heading2"/>
      </w:pPr>
      <w:r>
        <w:t xml:space="preserve">4.10</w:t>
      </w:r>
      <w:r>
        <w:tab/>
        <w:t xml:space="preserve">Som udført dokumentation</w:t>
      </w:r>
    </w:p>
    <w:p>
      <w:r>
        <w:t xml:space="preserve">Ud over angivne dokumentationer, skal følgende dokumentationer leveres: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”Som udført” dokumentation skal leveres digitalt på &lt;x&gt;.</w:t>
      </w:r>
    </w:p>
    <w:p>
      <w:r>
        <w:t xml:space="preserve">Ad G4.</w:t>
      </w:r>
      <w:r>
        <w:br/>
      </w:r>
      <w:r>
        <w:t xml:space="preserve">
Følgende dokumentation er ikke en del D&amp;V dokumentation: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pPr>
        <w:pStyle w:val="Heading1"/>
        <w:sectPr w:rsidR="00CD4290" w:rsidSect="00F80CC0">
          <w:headerReference w:type="default" r:id="rId11"/>
          <w:pgSz w:w="11910" w:h="16840"/>
          <w:pgMar w:top="1701" w:right="1440" w:bottom="1440" w:left="1440" w:header="709" w:footer="709" w:gutter="0"/>
          <w:cols w:space="708"/>
        </w:sectPr>
      </w:pPr>
    </w:p>
    <w:sectPr w:rsidR="00CD4290" w:rsidSect="00F80CC0">
      <w:headerReference w:type="default" r:id="rId12"/>
      <w:pgSz w:w="11910" w:h="16840"/>
      <w:pgMar w:top="1699" w:right="1440" w:bottom="1440" w:left="144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0326C" w14:textId="77777777" w:rsidR="007E67F0" w:rsidRDefault="007E67F0">
      <w:r>
        <w:separator/>
      </w:r>
    </w:p>
  </w:endnote>
  <w:endnote w:type="continuationSeparator" w:id="0">
    <w:p w14:paraId="779D124F" w14:textId="77777777" w:rsidR="007E67F0" w:rsidRDefault="007E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Hoves">
    <w:altName w:val="Calibri"/>
    <w:panose1 w:val="020B0604020202020204"/>
    <w:charset w:val="00"/>
    <w:family w:val="auto"/>
    <w:pitch w:val="variable"/>
    <w:sig w:usb0="A000027F" w:usb1="5000A4F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81F9A2" w14:textId="77777777" w:rsidR="007E67F0" w:rsidRDefault="007E67F0">
      <w:r>
        <w:separator/>
      </w:r>
    </w:p>
  </w:footnote>
  <w:footnote w:type="continuationSeparator" w:id="0">
    <w:p w14:paraId="49DBA04A" w14:textId="77777777" w:rsidR="007E67F0" w:rsidRDefault="007E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39E4EE4" w14:textId="77777777" w:rsidTr="00F80CC0">
      <w:trPr>
        <w:trHeight w:val="269"/>
      </w:trPr>
      <w:tc>
        <w:tcPr>
          <w:tcW w:w="4534" w:type="dxa"/>
        </w:tcPr>
        <w:p w14:paraId="42683E6D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342FAA20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A68766A" w14:textId="77777777" w:rsidTr="00F80CC0">
      <w:trPr>
        <w:trHeight w:val="113"/>
      </w:trPr>
      <w:tc>
        <w:tcPr>
          <w:tcW w:w="7230" w:type="dxa"/>
          <w:gridSpan w:val="2"/>
        </w:tcPr>
        <w:p w14:paraId="0B453C5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7A27F82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3C98A035" w14:textId="77777777" w:rsidTr="00F80CC0">
      <w:trPr>
        <w:trHeight w:val="285"/>
      </w:trPr>
      <w:tc>
        <w:tcPr>
          <w:tcW w:w="7230" w:type="dxa"/>
          <w:gridSpan w:val="2"/>
        </w:tcPr>
        <w:p w14:paraId="4493B6D2" w14:textId="77777777" w:rsidR="00F80CC0" w:rsidRDefault="00F80CC0" w:rsidP="009929AA">
          <w:pPr>
            <w:pStyle w:val="HeaderNormal"/>
          </w:pPr>
          <w:r>
            <w:t>VELUX CVP+CFP - Produktspecifikke</w:t>
          </w:r>
        </w:p>
      </w:tc>
      <w:tc>
        <w:tcPr>
          <w:tcW w:w="2126" w:type="dxa"/>
        </w:tcPr>
        <w:p w14:paraId="71D968D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26EAEFBD" w14:textId="77777777" w:rsidTr="00F80CC0">
      <w:trPr>
        <w:trHeight w:val="285"/>
      </w:trPr>
      <w:tc>
        <w:tcPr>
          <w:tcW w:w="7230" w:type="dxa"/>
          <w:gridSpan w:val="2"/>
        </w:tcPr>
        <w:p w14:paraId="4646D477" w14:textId="632BD3CA" w:rsidR="00F80CC0" w:rsidRDefault="00536219" w:rsidP="009929AA">
          <w:pPr>
            <w:pStyle w:val="HeaderNormal"/>
          </w:pPr>
          <w:r>
            <w:t>Indholdsfortegnelse</w:t>
          </w:r>
        </w:p>
      </w:tc>
      <w:tc>
        <w:tcPr>
          <w:tcW w:w="2126" w:type="dxa"/>
        </w:tcPr>
        <w:p w14:paraId="2651B07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DFBF5D6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536219" w14:paraId="2AE2166A" w14:textId="77777777" w:rsidTr="00F80CC0">
      <w:trPr>
        <w:trHeight w:val="269"/>
      </w:trPr>
      <w:tc>
        <w:tcPr>
          <w:tcW w:w="4534" w:type="dxa"/>
        </w:tcPr>
        <w:p w14:paraId="0B516F2E" w14:textId="77777777" w:rsidR="00536219" w:rsidRPr="009929AA" w:rsidRDefault="00536219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4E22DF6C" w14:textId="77777777" w:rsidR="00536219" w:rsidRPr="009929AA" w:rsidRDefault="00536219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536219" w14:paraId="64D28BF3" w14:textId="77777777" w:rsidTr="00F80CC0">
      <w:trPr>
        <w:trHeight w:val="113"/>
      </w:trPr>
      <w:tc>
        <w:tcPr>
          <w:tcW w:w="7230" w:type="dxa"/>
          <w:gridSpan w:val="2"/>
        </w:tcPr>
        <w:p w14:paraId="3E82B4BA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75C23B4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</w:tr>
    <w:tr w:rsidR="00536219" w14:paraId="48C43B6A" w14:textId="77777777" w:rsidTr="00F80CC0">
      <w:trPr>
        <w:trHeight w:val="285"/>
      </w:trPr>
      <w:tc>
        <w:tcPr>
          <w:tcW w:w="7230" w:type="dxa"/>
          <w:gridSpan w:val="2"/>
        </w:tcPr>
        <w:p w14:paraId="7C4FE821" w14:textId="77777777" w:rsidR="00536219" w:rsidRDefault="00536219" w:rsidP="009929AA">
          <w:pPr>
            <w:pStyle w:val="HeaderNormal"/>
          </w:pPr>
          <w:r>
            <w:t>VELUX CVP+CFP - Produktspecifikke</w:t>
          </w:r>
        </w:p>
      </w:tc>
      <w:tc>
        <w:tcPr>
          <w:tcW w:w="2126" w:type="dxa"/>
        </w:tcPr>
        <w:p w14:paraId="208927AF" w14:textId="77777777" w:rsidR="00536219" w:rsidRDefault="00536219" w:rsidP="009929AA">
          <w:pPr>
            <w:pStyle w:val="HeaderNormal"/>
          </w:pPr>
          <w:r>
            <w:t>Dato, R0:</w:t>
          </w:r>
        </w:p>
      </w:tc>
    </w:tr>
    <w:tr w:rsidR="00536219" w14:paraId="7836BB8F" w14:textId="77777777" w:rsidTr="00F80CC0">
      <w:trPr>
        <w:trHeight w:val="285"/>
      </w:trPr>
      <w:tc>
        <w:tcPr>
          <w:tcW w:w="7230" w:type="dxa"/>
          <w:gridSpan w:val="2"/>
        </w:tcPr>
        <w:p w14:paraId="2B283F5B" w14:textId="77777777" w:rsidR="00536219" w:rsidRDefault="00536219" w:rsidP="009929AA">
          <w:pPr>
            <w:pStyle w:val="HeaderNormal"/>
          </w:pPr>
          <w:r>
            <w:t>Omfang</w:t>
          </w:r>
        </w:p>
      </w:tc>
      <w:tc>
        <w:tcPr>
          <w:tcW w:w="2126" w:type="dxa"/>
        </w:tcPr>
        <w:p w14:paraId="42134479" w14:textId="77777777" w:rsidR="00536219" w:rsidRDefault="00536219" w:rsidP="009929AA">
          <w:pPr>
            <w:pStyle w:val="HeaderNormal"/>
          </w:pPr>
          <w:r>
            <w:t>Revision:</w:t>
          </w:r>
        </w:p>
      </w:tc>
    </w:tr>
  </w:tbl>
  <w:p w14:paraId="66C6427A" w14:textId="77777777" w:rsidR="00536219" w:rsidRDefault="00536219" w:rsidP="00F80CC0">
    <w:pPr>
      <w:pStyle w:val="Header"/>
      <w:spacing w:line="276" w:lineRule="auto"/>
      <w:rPr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5EE19BA" w14:textId="77777777" w:rsidTr="00F80CC0">
      <w:trPr>
        <w:trHeight w:val="269"/>
      </w:trPr>
      <w:tc>
        <w:tcPr>
          <w:tcW w:w="4534" w:type="dxa"/>
        </w:tcPr>
        <w:p w14:paraId="09908433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82C48B6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140DBE48" w14:textId="77777777" w:rsidTr="00F80CC0">
      <w:trPr>
        <w:trHeight w:val="113"/>
      </w:trPr>
      <w:tc>
        <w:tcPr>
          <w:tcW w:w="7230" w:type="dxa"/>
          <w:gridSpan w:val="2"/>
        </w:tcPr>
        <w:p w14:paraId="3A5DC378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A20B6B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73D4FFF2" w14:textId="77777777" w:rsidTr="00F80CC0">
      <w:trPr>
        <w:trHeight w:val="285"/>
      </w:trPr>
      <w:tc>
        <w:tcPr>
          <w:tcW w:w="7230" w:type="dxa"/>
          <w:gridSpan w:val="2"/>
        </w:tcPr>
        <w:p w14:paraId="6E498E0B" w14:textId="77777777" w:rsidR="00F80CC0" w:rsidRDefault="00F80CC0" w:rsidP="009929AA">
          <w:pPr>
            <w:pStyle w:val="HeaderNormal"/>
          </w:pPr>
          <w:r>
            <w:t>VELUX CVP+CFP - Produktspecifikke</w:t>
          </w:r>
        </w:p>
      </w:tc>
      <w:tc>
        <w:tcPr>
          <w:tcW w:w="2126" w:type="dxa"/>
        </w:tcPr>
        <w:p w14:paraId="16DB3D8D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61046E2D" w14:textId="77777777" w:rsidTr="00F80CC0">
      <w:trPr>
        <w:trHeight w:val="285"/>
      </w:trPr>
      <w:tc>
        <w:tcPr>
          <w:tcW w:w="7230" w:type="dxa"/>
          <w:gridSpan w:val="2"/>
        </w:tcPr>
        <w:p w14:paraId="4D6BC9D2" w14:textId="5E604CF4" w:rsidR="00F80CC0" w:rsidRDefault="00F80CC0" w:rsidP="009929AA">
          <w:pPr>
            <w:pStyle w:val="HeaderNormal"/>
          </w:pPr>
          <w:r>
            <w:t>Almene specifikationer</w:t>
          </w:r>
        </w:p>
      </w:tc>
      <w:tc>
        <w:tcPr>
          <w:tcW w:w="2126" w:type="dxa"/>
        </w:tcPr>
        <w:p w14:paraId="3B2A4E2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0203AFE9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53EE7885" w14:textId="77777777" w:rsidTr="00F80CC0">
      <w:trPr>
        <w:trHeight w:val="269"/>
      </w:trPr>
      <w:tc>
        <w:tcPr>
          <w:tcW w:w="4534" w:type="dxa"/>
        </w:tcPr>
        <w:p w14:paraId="77AEFEA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F6C9721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6AE8081" w14:textId="77777777" w:rsidTr="00F80CC0">
      <w:trPr>
        <w:trHeight w:val="113"/>
      </w:trPr>
      <w:tc>
        <w:tcPr>
          <w:tcW w:w="7230" w:type="dxa"/>
          <w:gridSpan w:val="2"/>
        </w:tcPr>
        <w:p w14:paraId="7E92749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53906CE5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50603B2" w14:textId="77777777" w:rsidTr="00F80CC0">
      <w:trPr>
        <w:trHeight w:val="285"/>
      </w:trPr>
      <w:tc>
        <w:tcPr>
          <w:tcW w:w="7230" w:type="dxa"/>
          <w:gridSpan w:val="2"/>
        </w:tcPr>
        <w:p w14:paraId="4F84C39B" w14:textId="77777777" w:rsidR="00F80CC0" w:rsidRDefault="00F80CC0" w:rsidP="009929AA">
          <w:pPr>
            <w:pStyle w:val="HeaderNormal"/>
          </w:pPr>
          <w:r>
            <w:t>VELUX CVP+CFP - Produktspecifikke</w:t>
          </w:r>
        </w:p>
      </w:tc>
      <w:tc>
        <w:tcPr>
          <w:tcW w:w="2126" w:type="dxa"/>
        </w:tcPr>
        <w:p w14:paraId="3350FCF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4548CC8B" w14:textId="77777777" w:rsidTr="00F80CC0">
      <w:trPr>
        <w:trHeight w:val="285"/>
      </w:trPr>
      <w:tc>
        <w:tcPr>
          <w:tcW w:w="7230" w:type="dxa"/>
          <w:gridSpan w:val="2"/>
        </w:tcPr>
        <w:p w14:paraId="12C8ADB1" w14:textId="21D57524" w:rsidR="00F80CC0" w:rsidRDefault="00F80CC0" w:rsidP="009929AA">
          <w:pPr>
            <w:pStyle w:val="HeaderNormal"/>
          </w:pPr>
          <w:r>
            <w:t>Projektering</w:t>
          </w:r>
        </w:p>
      </w:tc>
      <w:tc>
        <w:tcPr>
          <w:tcW w:w="2126" w:type="dxa"/>
        </w:tcPr>
        <w:p w14:paraId="37BC139A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4DBC2EC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6B8515D9" w14:textId="77777777" w:rsidTr="00F80CC0">
      <w:trPr>
        <w:trHeight w:val="269"/>
      </w:trPr>
      <w:tc>
        <w:tcPr>
          <w:tcW w:w="4534" w:type="dxa"/>
        </w:tcPr>
        <w:p w14:paraId="4050824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25AABFF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71E8EC23" w14:textId="77777777">
      <w:trPr>
        <w:trHeight w:val="113"/>
      </w:trPr>
      <w:tc>
        <w:tcPr>
          <w:tcW w:w="7230" w:type="dxa"/>
          <w:gridSpan w:val="2"/>
          <w:tcBorders>
            <w:bottom w:val="single" w:sz="4" w:space="0" w:color="auto"/>
          </w:tcBorders>
        </w:tcPr>
        <w:p w14:paraId="6BA41939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  <w:tcBorders>
            <w:bottom w:val="single" w:sz="4" w:space="0" w:color="auto"/>
          </w:tcBorders>
        </w:tcPr>
        <w:p w14:paraId="116885FD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69ED573" w14:textId="77777777">
      <w:trPr>
        <w:trHeight w:val="285"/>
      </w:trPr>
      <w:tc>
        <w:tcPr>
          <w:tcW w:w="7230" w:type="dxa"/>
          <w:gridSpan w:val="2"/>
        </w:tcPr>
        <w:p w14:paraId="0FB7E185" w14:textId="77777777" w:rsidR="00F80CC0" w:rsidRDefault="00F80CC0" w:rsidP="009929AA">
          <w:pPr>
            <w:pStyle w:val="HeaderNormal"/>
          </w:pPr>
          <w:r>
            <w:t>VELUX CVP+CFP - Produktspecifikke</w:t>
          </w:r>
        </w:p>
      </w:tc>
      <w:tc>
        <w:tcPr>
          <w:tcW w:w="2126" w:type="dxa"/>
        </w:tcPr>
        <w:p w14:paraId="1C5366E3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5E433B47" w14:textId="77777777">
      <w:trPr>
        <w:trHeight w:val="285"/>
      </w:trPr>
      <w:tc>
        <w:tcPr>
          <w:tcW w:w="7230" w:type="dxa"/>
          <w:gridSpan w:val="2"/>
        </w:tcPr>
        <w:p w14:paraId="566F8573" w14:textId="77777777" w:rsidR="00F80CC0" w:rsidRDefault="00F80CC0" w:rsidP="009929AA">
          <w:pPr>
            <w:pStyle w:val="HeaderNormal"/>
          </w:pPr>
          <w:r>
            <w:t>Produktion</w:t>
          </w:r>
        </w:p>
      </w:tc>
      <w:tc>
        <w:tcPr>
          <w:tcW w:w="2126" w:type="dxa"/>
        </w:tcPr>
        <w:p w14:paraId="0F5F8378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544604D5" w14:textId="77777777" w:rsidR="00F80CC0" w:rsidRDefault="00F80CC0">
    <w:pPr>
      <w:pStyle w:val="Header"/>
      <w:spacing w:line="276" w:lineRule="auto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9F438"/>
    <w:multiLevelType w:val="multilevel"/>
    <w:tmpl w:val="5630C6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hAnsi="Wingdings"/>
      </w:rPr>
    </w:lvl>
  </w:abstractNum>
  <w:num w:numId="1" w16cid:durableId="80378544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90"/>
    <w:rsid w:val="00142E2E"/>
    <w:rsid w:val="0023082E"/>
    <w:rsid w:val="003C67C9"/>
    <w:rsid w:val="00485A9C"/>
    <w:rsid w:val="00536219"/>
    <w:rsid w:val="0068051E"/>
    <w:rsid w:val="007D2DB5"/>
    <w:rsid w:val="007E67F0"/>
    <w:rsid w:val="00871F9C"/>
    <w:rsid w:val="008834C7"/>
    <w:rsid w:val="008A193E"/>
    <w:rsid w:val="00926763"/>
    <w:rsid w:val="009929AA"/>
    <w:rsid w:val="00B12FE2"/>
    <w:rsid w:val="00CD4290"/>
    <w:rsid w:val="00CD6BC4"/>
    <w:rsid w:val="00D02CA6"/>
    <w:rsid w:val="00ED4BD9"/>
    <w:rsid w:val="00F80CC0"/>
    <w:rsid w:val="00F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3FF8D"/>
  <w15:docId w15:val="{42934021-A4E1-B74D-AB62-221F9243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AA"/>
    <w:pPr>
      <w:spacing w:before="120" w:after="120"/>
    </w:pPr>
    <w:rPr>
      <w:rFonts w:ascii="Arial" w:eastAsia="Arial" w:hAnsi="Arial" w:cs="Arial"/>
      <w:sz w:val="18"/>
      <w:lang w:val="da-DK"/>
    </w:rPr>
  </w:style>
  <w:style w:type="paragraph" w:styleId="Heading1">
    <w:name w:val="heading 1"/>
    <w:basedOn w:val="Normal"/>
    <w:link w:val="Heading1Char"/>
    <w:uiPriority w:val="9"/>
    <w:qFormat/>
    <w:rsid w:val="003C67C9"/>
    <w:pPr>
      <w:keepNext/>
      <w:keepLines/>
      <w:widowControl/>
      <w:autoSpaceDE/>
      <w:autoSpaceDN/>
      <w:spacing w:before="480"/>
      <w:outlineLvl w:val="0"/>
    </w:pPr>
    <w:rPr>
      <w:rFonts w:eastAsiaTheme="majorEastAsia" w:cstheme="majorBidi"/>
      <w:b/>
      <w:bCs/>
      <w:szCs w:val="28"/>
      <w:lang w:eastAsia="da-DK"/>
    </w:rPr>
  </w:style>
  <w:style w:type="paragraph" w:styleId="Heading2">
    <w:name w:val="heading 2"/>
    <w:basedOn w:val="Normal"/>
    <w:link w:val="Heading2Char"/>
    <w:uiPriority w:val="9"/>
    <w:unhideWhenUsed/>
    <w:qFormat/>
    <w:rsid w:val="003C67C9"/>
    <w:pPr>
      <w:keepNext/>
      <w:keepLines/>
      <w:widowControl/>
      <w:autoSpaceDE/>
      <w:autoSpaceDN/>
      <w:spacing w:before="200"/>
      <w:outlineLvl w:val="1"/>
    </w:pPr>
    <w:rPr>
      <w:rFonts w:eastAsiaTheme="majorEastAsia" w:cstheme="majorBidi"/>
      <w:b/>
      <w:bCs/>
      <w:szCs w:val="26"/>
      <w:lang w:eastAsia="da-DK"/>
    </w:rPr>
  </w:style>
  <w:style w:type="paragraph" w:styleId="Heading3">
    <w:name w:val="heading 3"/>
    <w:basedOn w:val="Normal"/>
    <w:link w:val="Heading3Char"/>
    <w:uiPriority w:val="9"/>
    <w:unhideWhenUsed/>
    <w:qFormat/>
    <w:pPr>
      <w:keepNext/>
      <w:keepLines/>
      <w:widowControl/>
      <w:autoSpaceDE/>
      <w:autoSpaceDN/>
      <w:spacing w:before="200"/>
      <w:outlineLvl w:val="2"/>
    </w:pPr>
    <w:rPr>
      <w:rFonts w:eastAsiaTheme="majorEastAsia" w:cstheme="majorBidi"/>
      <w:b/>
      <w:bCs/>
      <w:szCs w:val="18"/>
      <w:lang w:eastAsia="da-DK"/>
    </w:rPr>
  </w:style>
  <w:style w:type="paragraph" w:styleId="Heading4">
    <w:name w:val="heading 4"/>
    <w:basedOn w:val="Normal"/>
    <w:link w:val="Heading4Char"/>
    <w:uiPriority w:val="9"/>
    <w:unhideWhenUsed/>
    <w:qFormat/>
    <w:pPr>
      <w:keepNext/>
      <w:keepLines/>
      <w:widowControl/>
      <w:autoSpaceDE/>
      <w:autoSpaceDN/>
      <w:spacing w:before="200"/>
      <w:outlineLvl w:val="3"/>
    </w:pPr>
    <w:rPr>
      <w:rFonts w:eastAsiaTheme="majorEastAsia" w:cstheme="majorBidi"/>
      <w:b/>
      <w:bCs/>
      <w:iCs/>
      <w:szCs w:val="18"/>
      <w:lang w:eastAsia="da-DK"/>
    </w:rPr>
  </w:style>
  <w:style w:type="paragraph" w:styleId="Heading5">
    <w:name w:val="heading 5"/>
    <w:basedOn w:val="Normal"/>
    <w:link w:val="Heading5Char"/>
    <w:uiPriority w:val="9"/>
    <w:unhideWhenUsed/>
    <w:qFormat/>
    <w:pPr>
      <w:keepNext/>
      <w:keepLines/>
      <w:widowControl/>
      <w:autoSpaceDE/>
      <w:autoSpaceDN/>
      <w:spacing w:before="200"/>
      <w:outlineLvl w:val="4"/>
    </w:pPr>
    <w:rPr>
      <w:rFonts w:eastAsiaTheme="majorEastAsia" w:cstheme="majorBidi"/>
      <w:b/>
      <w:szCs w:val="18"/>
      <w:lang w:eastAsia="da-DK"/>
    </w:rPr>
  </w:style>
  <w:style w:type="paragraph" w:styleId="Heading6">
    <w:name w:val="heading 6"/>
    <w:basedOn w:val="Normal"/>
    <w:link w:val="Heading6Char"/>
    <w:uiPriority w:val="9"/>
    <w:unhideWhenUsed/>
    <w:qFormat/>
    <w:pPr>
      <w:keepNext/>
      <w:keepLines/>
      <w:widowControl/>
      <w:autoSpaceDE/>
      <w:autoSpaceDN/>
      <w:spacing w:before="200"/>
      <w:outlineLvl w:val="5"/>
    </w:pPr>
    <w:rPr>
      <w:rFonts w:eastAsiaTheme="majorEastAsia" w:cstheme="majorBidi"/>
      <w:b/>
      <w:iCs/>
      <w:szCs w:val="18"/>
      <w:lang w:eastAsia="da-DK"/>
    </w:rPr>
  </w:style>
  <w:style w:type="paragraph" w:styleId="Heading7">
    <w:name w:val="heading 7"/>
    <w:basedOn w:val="Normal"/>
    <w:link w:val="Heading7Char"/>
    <w:uiPriority w:val="9"/>
    <w:unhideWhenUsed/>
    <w:qFormat/>
    <w:pPr>
      <w:keepNext/>
      <w:keepLines/>
      <w:widowControl/>
      <w:autoSpaceDE/>
      <w:autoSpaceDN/>
      <w:spacing w:before="200"/>
      <w:outlineLvl w:val="6"/>
    </w:pPr>
    <w:rPr>
      <w:rFonts w:eastAsiaTheme="majorEastAsia" w:cstheme="majorBidi"/>
      <w:b/>
      <w:iCs/>
      <w:szCs w:val="18"/>
      <w:lang w:eastAsia="da-DK"/>
    </w:rPr>
  </w:style>
  <w:style w:type="paragraph" w:styleId="Heading8">
    <w:name w:val="heading 8"/>
    <w:basedOn w:val="Normal"/>
    <w:link w:val="Heading8Char"/>
    <w:uiPriority w:val="9"/>
    <w:unhideWhenUsed/>
    <w:qFormat/>
    <w:pPr>
      <w:keepNext/>
      <w:keepLines/>
      <w:widowControl/>
      <w:autoSpaceDE/>
      <w:autoSpaceDN/>
      <w:spacing w:before="200"/>
      <w:outlineLvl w:val="7"/>
    </w:pPr>
    <w:rPr>
      <w:rFonts w:eastAsiaTheme="majorEastAsia" w:cstheme="majorBidi"/>
      <w:b/>
      <w:szCs w:val="20"/>
      <w:lang w:eastAsia="da-DK"/>
    </w:rPr>
  </w:style>
  <w:style w:type="paragraph" w:styleId="Heading9">
    <w:name w:val="heading 9"/>
    <w:basedOn w:val="Normal"/>
    <w:link w:val="Heading9Char"/>
    <w:uiPriority w:val="9"/>
    <w:unhideWhenUsed/>
    <w:qFormat/>
    <w:pPr>
      <w:keepNext/>
      <w:keepLines/>
      <w:widowControl/>
      <w:autoSpaceDE/>
      <w:autoSpaceDN/>
      <w:spacing w:before="200"/>
      <w:outlineLvl w:val="8"/>
    </w:pPr>
    <w:rPr>
      <w:rFonts w:eastAsiaTheme="majorEastAsia" w:cstheme="majorBidi"/>
      <w:b/>
      <w:i/>
      <w:iCs/>
      <w:szCs w:val="20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T Hoves" w:eastAsia="Arial" w:hAnsi="TT Hoves" w:cs="Ari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T Hoves" w:eastAsia="Arial" w:hAnsi="TT Hoves" w:cs="Arial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okTitle1">
    <w:name w:val="Book Title1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3C67C9"/>
    <w:rPr>
      <w:rFonts w:ascii="Arial" w:eastAsiaTheme="majorEastAsia" w:hAnsi="Arial" w:cstheme="majorBidi"/>
      <w:b/>
      <w:bCs/>
      <w:sz w:val="18"/>
      <w:szCs w:val="28"/>
      <w:lang w:val="da-DK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3C67C9"/>
    <w:rPr>
      <w:rFonts w:ascii="Arial" w:eastAsiaTheme="majorEastAsia" w:hAnsi="Arial" w:cstheme="majorBidi"/>
      <w:b/>
      <w:bCs/>
      <w:sz w:val="18"/>
      <w:szCs w:val="26"/>
      <w:lang w:val="da-DK" w:eastAsia="da-DK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T Hoves" w:eastAsiaTheme="majorEastAsia" w:hAnsi="TT Hoves" w:cstheme="majorBidi"/>
      <w:b/>
      <w:bCs/>
      <w:sz w:val="18"/>
      <w:szCs w:val="18"/>
      <w:lang w:val="da-DK" w:eastAsia="da-DK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T Hoves" w:eastAsiaTheme="majorEastAsia" w:hAnsi="TT Hoves" w:cstheme="majorBidi"/>
      <w:b/>
      <w:bCs/>
      <w:iCs/>
      <w:sz w:val="18"/>
      <w:szCs w:val="18"/>
      <w:lang w:val="da-DK" w:eastAsia="da-DK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T Hoves" w:eastAsiaTheme="majorEastAsia" w:hAnsi="TT Hoves" w:cstheme="majorBidi"/>
      <w:b/>
      <w:sz w:val="18"/>
      <w:szCs w:val="18"/>
      <w:lang w:val="da-DK" w:eastAsia="da-DK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T Hoves" w:eastAsiaTheme="majorEastAsia" w:hAnsi="TT Hoves" w:cstheme="majorBidi"/>
      <w:b/>
      <w:sz w:val="18"/>
      <w:szCs w:val="20"/>
      <w:lang w:val="da-DK" w:eastAsia="da-DK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T Hoves" w:eastAsiaTheme="majorEastAsia" w:hAnsi="TT Hoves" w:cstheme="majorBidi"/>
      <w:b/>
      <w:i/>
      <w:iCs/>
      <w:sz w:val="18"/>
      <w:szCs w:val="20"/>
      <w:lang w:val="da-DK" w:eastAsia="da-DK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4F81BD"/>
      <w:spacing w:val="5"/>
    </w:rPr>
  </w:style>
  <w:style w:type="paragraph" w:customStyle="1" w:styleId="NoSpacing1">
    <w:name w:val="No Spacing1"/>
    <w:uiPriority w:val="1"/>
    <w:qFormat/>
    <w:rPr>
      <w:rFonts w:ascii="TT Hoves" w:eastAsia="Arial" w:hAnsi="TT Hoves" w:cs="Arial"/>
    </w:rPr>
  </w:style>
  <w:style w:type="character" w:styleId="Strong">
    <w:name w:val="Strong"/>
    <w:basedOn w:val="DefaultParagraphFont"/>
    <w:uiPriority w:val="22"/>
    <w:qFormat/>
    <w:rPr>
      <w:rFonts w:ascii="Arial" w:hAnsi="Arial"/>
      <w:b/>
      <w:bCs/>
    </w:rPr>
  </w:style>
  <w:style w:type="paragraph" w:styleId="Title">
    <w:name w:val="Title"/>
    <w:basedOn w:val="Normal"/>
    <w:link w:val="TitleChar"/>
    <w:uiPriority w:val="10"/>
    <w:qFormat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TT Hoves" w:eastAsiaTheme="majorEastAsia" w:hAnsi="TT Hoves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rPr>
      <w:sz w:val="24"/>
    </w:rPr>
  </w:style>
  <w:style w:type="paragraph" w:styleId="TOC1">
    <w:name w:val="toc 1"/>
    <w:basedOn w:val="Normal"/>
    <w:next w:val="Normal"/>
    <w:uiPriority w:val="39"/>
    <w:rPr>
      <w:lang w:val="en-US"/>
    </w:rPr>
  </w:style>
  <w:style w:type="paragraph" w:styleId="TOC2">
    <w:name w:val="toc 2"/>
    <w:basedOn w:val="Normal"/>
    <w:next w:val="Normal"/>
    <w:uiPriority w:val="39"/>
    <w:pPr>
      <w:ind w:left="240"/>
    </w:pPr>
  </w:style>
  <w:style w:type="paragraph" w:styleId="TOC3">
    <w:name w:val="toc 3"/>
    <w:basedOn w:val="Normal"/>
    <w:next w:val="Normal"/>
    <w:pPr>
      <w:ind w:left="480"/>
    </w:pPr>
  </w:style>
  <w:style w:type="paragraph" w:customStyle="1" w:styleId="HeaderNormal">
    <w:name w:val="Header_Normal"/>
    <w:basedOn w:val="Normal"/>
    <w:qFormat/>
    <w:rsid w:val="009929AA"/>
    <w:pPr>
      <w:spacing w:before="0" w:after="0"/>
    </w:pPr>
    <w:rPr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A05B094E8C5418BC29A7DE6731451" ma:contentTypeVersion="12" ma:contentTypeDescription="Create a new document." ma:contentTypeScope="" ma:versionID="4684b2693b6413f120bcd274617e056f">
  <xsd:schema xmlns:xsd="http://www.w3.org/2001/XMLSchema" xmlns:xs="http://www.w3.org/2001/XMLSchema" xmlns:p="http://schemas.microsoft.com/office/2006/metadata/properties" xmlns:ns2="76d04436-b3e6-4394-b295-7ba6be5bf7cd" xmlns:ns3="c389b500-c51e-41be-86de-84c73d73fe65" targetNamespace="http://schemas.microsoft.com/office/2006/metadata/properties" ma:root="true" ma:fieldsID="a2705346bf482ee55ac6911567f2ee43" ns2:_="" ns3:_="">
    <xsd:import namespace="76d04436-b3e6-4394-b295-7ba6be5bf7cd"/>
    <xsd:import namespace="c389b500-c51e-41be-86de-84c73d73f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4436-b3e6-4394-b295-7ba6be5bf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9b500-c51e-41be-86de-84c73d73fe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948e7a-6b51-4eda-b091-42a194683c72}" ma:internalName="TaxCatchAll" ma:showField="CatchAllData" ma:web="c389b500-c51e-41be-86de-84c73d73fe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89b500-c51e-41be-86de-84c73d73fe65" xsi:nil="true"/>
    <lcf76f155ced4ddcb4097134ff3c332f xmlns="76d04436-b3e6-4394-b295-7ba6be5bf7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F3F472-5D3E-46F3-BF1C-28A03A1B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E32BB4-1136-485F-BCFD-8BACADD6BF44}"/>
</file>

<file path=customXml/itemProps3.xml><?xml version="1.0" encoding="utf-8"?>
<ds:datastoreItem xmlns:ds="http://schemas.openxmlformats.org/officeDocument/2006/customXml" ds:itemID="{61B0C444-E5AB-4626-A578-E3B2E3E71336}"/>
</file>

<file path=customXml/itemProps4.xml><?xml version="1.0" encoding="utf-8"?>
<ds:datastoreItem xmlns:ds="http://schemas.openxmlformats.org/officeDocument/2006/customXml" ds:itemID="{1F09F148-FD45-46B7-90B0-3D0B60E1E3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S3400104Ventilation aggregat og ventilatorBeskrivelsesanvisning R0200 20240108 (4).pdf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S3400104Ventilation aggregat og ventilatorBeskrivelsesanvisning R0200 20240108 (4).pdf</dc:title>
  <dc:creator>TG (Toke Godiksen)</dc:creator>
  <cp:lastModifiedBy>thv</cp:lastModifiedBy>
  <cp:revision>8</cp:revision>
  <dcterms:created xsi:type="dcterms:W3CDTF">2026-05-12T12:47:00Z</dcterms:created>
  <dcterms:modified xsi:type="dcterms:W3CDTF">2026-07-02T15:48:00Z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LastSaved">
    <vt:filetime>2024-09-27T00:00:00Z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0x010100A3CA05B094E8C5418BC29A7DE6731451</vt:lpwstr>
  </property>
</Properties>
</file>